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1F4E78"/>
            <w:tcMar>
              <w:top w:w="260" w:type="dxa"/>
              <w:start w:w="230" w:type="dxa"/>
              <w:bottom w:w="260" w:type="dxa"/>
              <w:end w:w="230" w:type="dxa"/>
            </w:tcMar>
          </w:tcPr>
          <w:p>
            <w:r>
              <w:rPr>
                <w:rFonts w:ascii="Aptos Display" w:hAnsi="Aptos Display"/>
                <w:b/>
                <w:color w:val="D2E6F5"/>
                <w:sz w:val="26"/>
              </w:rPr>
              <w:t>PRZYKŁADOWA PROCEDURA</w:t>
            </w:r>
          </w:p>
          <w:p>
            <w:pPr>
              <w:spacing w:before="120"/>
            </w:pPr>
            <w:r>
              <w:rPr>
                <w:rFonts w:ascii="Aptos Display" w:hAnsi="Aptos Display"/>
                <w:b/>
                <w:color w:val="FFFFFF"/>
                <w:sz w:val="50"/>
              </w:rPr>
              <w:t>Obsługa zgłoszenia usterki</w:t>
              <w:br/>
              <w:t>pojazdu służbowego</w:t>
            </w:r>
          </w:p>
          <w:p>
            <w:pPr>
              <w:spacing w:before="100"/>
            </w:pPr>
            <w:r>
              <w:rPr>
                <w:color w:val="E1EEF8"/>
                <w:sz w:val="19"/>
              </w:rPr>
              <w:t>DEMO-FLT-01  •  wersja 1.0  •  materiał portfolio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1F4E78"/>
              </w:rPr>
              <w:t>Nazwa organizacji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Firma Demonstracyjna Sp. z o.o.</w:t>
            </w:r>
          </w:p>
        </w:tc>
      </w:tr>
      <w:tr>
        <w:tc>
          <w:tcPr>
            <w:tcW w:type="dxa" w:w="518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1F4E78"/>
              </w:rPr>
              <w:t>Właściciel procesu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Dział Administracji / Floty</w:t>
            </w:r>
          </w:p>
        </w:tc>
      </w:tr>
      <w:tr>
        <w:tc>
          <w:tcPr>
            <w:tcW w:type="dxa" w:w="518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1F4E78"/>
              </w:rPr>
              <w:t>Obowiązuje od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06.10.2026</w:t>
            </w:r>
          </w:p>
        </w:tc>
      </w:tr>
      <w:tr>
        <w:tc>
          <w:tcPr>
            <w:tcW w:type="dxa" w:w="518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1F4E78"/>
              </w:rPr>
              <w:t>Status dokumentu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Materiał demonstracyjny – dane fikcyjne</w:t>
            </w:r>
          </w:p>
        </w:tc>
      </w:tr>
      <w:tr>
        <w:tc>
          <w:tcPr>
            <w:tcW w:type="dxa" w:w="518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1F4E78"/>
              </w:rPr>
              <w:t>Cel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Jednolity sposób zgłaszania, obsługi i zamykania usterek pojazdów.</w:t>
            </w:r>
          </w:p>
        </w:tc>
      </w:tr>
    </w:tbl>
    <w:p>
      <w:pPr>
        <w:spacing w:before="240"/>
        <w:jc w:val="center"/>
      </w:pPr>
      <w:r>
        <w:rPr>
          <w:i/>
          <w:color w:val="5B6573"/>
          <w:sz w:val="18"/>
        </w:rPr>
        <w:t>Przykład pokazuje sposób opracowania procedury na podstawie wiedzy operacyjnej firmy. Nie opisuje rzeczywistego procesu żadnej organizacji.</w:t>
      </w:r>
    </w:p>
    <w:p>
      <w:r>
        <w:br w:type="page"/>
      </w:r>
    </w:p>
    <w:p>
      <w:pPr>
        <w:spacing w:after="40"/>
      </w:pPr>
      <w:r>
        <w:rPr>
          <w:rFonts w:ascii="Aptos Display" w:hAnsi="Aptos Display"/>
          <w:b/>
          <w:color w:val="1F4E78"/>
          <w:sz w:val="50"/>
        </w:rPr>
        <w:t>1. Cel i zakres</w:t>
      </w:r>
    </w:p>
    <w:p>
      <w:pPr>
        <w:spacing w:after="200"/>
      </w:pPr>
      <w:r>
        <w:rPr>
          <w:rFonts w:ascii="Aptos" w:hAnsi="Aptos"/>
          <w:color w:val="5B6573"/>
          <w:sz w:val="21"/>
        </w:rPr>
        <w:t>Procedura obejmuje pełny cykl od zgłoszenia usterki do potwierdzenia wykonania naprawy.</w:t>
      </w:r>
    </w:p>
    <w:p>
      <w:pPr>
        <w:pStyle w:val="ListBullet"/>
        <w:spacing w:after="40"/>
      </w:pPr>
      <w:r>
        <w:rPr>
          <w:sz w:val="20"/>
        </w:rPr>
        <w:t>Ujednolicenie sposobu przyjmowania zgłoszeń od kierowców i opiekunów pojazdów.</w:t>
      </w:r>
    </w:p>
    <w:p>
      <w:pPr>
        <w:pStyle w:val="ListBullet"/>
        <w:spacing w:after="40"/>
      </w:pPr>
      <w:r>
        <w:rPr>
          <w:sz w:val="20"/>
        </w:rPr>
        <w:t>Szybka identyfikacja usterek wpływających na bezpieczeństwo lub możliwość dalszej jazdy.</w:t>
      </w:r>
    </w:p>
    <w:p>
      <w:pPr>
        <w:pStyle w:val="ListBullet"/>
        <w:spacing w:after="40"/>
      </w:pPr>
      <w:r>
        <w:rPr>
          <w:sz w:val="20"/>
        </w:rPr>
        <w:t>Zapewnienie informacji o statusie naprawy i kompletnego śladu w rejestrze.</w:t>
      </w:r>
    </w:p>
    <w:p>
      <w:pPr>
        <w:pStyle w:val="ListBullet"/>
        <w:spacing w:after="40"/>
      </w:pPr>
      <w:r>
        <w:rPr>
          <w:sz w:val="20"/>
        </w:rPr>
        <w:t>Ograniczenie sytuacji, w których zgłoszenie pozostaje tylko w wiadomości lub rozmowie telefonicznej.</w:t>
      </w:r>
    </w:p>
    <w:p>
      <w:pPr>
        <w:spacing w:before="160" w:after="80"/>
      </w:pPr>
      <w:r>
        <w:rPr>
          <w:rFonts w:ascii="Aptos Display" w:hAnsi="Aptos Display"/>
          <w:b/>
          <w:color w:val="1F4E78"/>
          <w:sz w:val="30"/>
        </w:rPr>
        <w:t>2. Role i odpowiedzialności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4E78"/>
          </w:tcPr>
          <w:p>
            <w:r>
              <w:rPr>
                <w:b/>
                <w:color w:val="FFFFFF"/>
              </w:rPr>
              <w:t>Rola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4E78"/>
          </w:tcPr>
          <w:p>
            <w:r>
              <w:rPr>
                <w:b/>
                <w:color w:val="FFFFFF"/>
              </w:rPr>
              <w:t>Odpowiedzialność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4E78"/>
          </w:tcPr>
          <w:p>
            <w:r>
              <w:rPr>
                <w:b/>
                <w:color w:val="FFFFFF"/>
              </w:rPr>
              <w:t>Efekt</w:t>
            </w:r>
          </w:p>
        </w:tc>
      </w:tr>
      <w:tr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Kierowca / opiekun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Zgłasza usterkę i podaje komplet danych.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Jednoznaczne zgłoszenie</w:t>
            </w:r>
          </w:p>
        </w:tc>
      </w:tr>
      <w:tr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AFC"/>
          </w:tcPr>
          <w:p>
            <w:r>
              <w:t>Koordynator floty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AFC"/>
          </w:tcPr>
          <w:p>
            <w:r>
              <w:t>Rejestruje, priorytetyzuje i kieruje pojazd do serwisu.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AFC"/>
          </w:tcPr>
          <w:p>
            <w:r>
              <w:t>Kontrola terminu i statusu</w:t>
            </w:r>
          </w:p>
        </w:tc>
      </w:tr>
      <w:tr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Serwis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Diagnozuje, wykonuje naprawę i przekazuje informację o zakończeniu.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Potwierdzona naprawa</w:t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1F4E78"/>
          <w:sz w:val="30"/>
        </w:rPr>
        <w:t>3. Przebieg procesu – skrót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1F4E78"/>
                <w:sz w:val="22"/>
              </w:rPr>
              <w:t>1</w:t>
              <w:br/>
            </w:r>
            <w:r>
              <w:rPr>
                <w:b/>
                <w:color w:val="1F4E78"/>
                <w:sz w:val="17"/>
              </w:rPr>
              <w:t>ZGŁOSZENIE</w:t>
            </w:r>
          </w:p>
        </w:tc>
        <w:tc>
          <w:tcPr>
            <w:tcW w:type="dxa" w:w="1728"/>
            <w:shd w:fill="EAF2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1F4E78"/>
                <w:sz w:val="22"/>
              </w:rPr>
              <w:t>2</w:t>
              <w:br/>
            </w:r>
            <w:r>
              <w:rPr>
                <w:b/>
                <w:color w:val="1F4E78"/>
                <w:sz w:val="17"/>
              </w:rPr>
              <w:t>OCENA</w:t>
            </w:r>
          </w:p>
        </w:tc>
        <w:tc>
          <w:tcPr>
            <w:tcW w:type="dxa" w:w="1728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1F4E78"/>
                <w:sz w:val="22"/>
              </w:rPr>
              <w:t>3</w:t>
              <w:br/>
            </w:r>
            <w:r>
              <w:rPr>
                <w:b/>
                <w:color w:val="1F4E78"/>
                <w:sz w:val="17"/>
              </w:rPr>
              <w:t>REJESTR</w:t>
            </w:r>
          </w:p>
        </w:tc>
        <w:tc>
          <w:tcPr>
            <w:tcW w:type="dxa" w:w="1728"/>
            <w:shd w:fill="EAF2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1F4E78"/>
                <w:sz w:val="22"/>
              </w:rPr>
              <w:t>4</w:t>
              <w:br/>
            </w:r>
            <w:r>
              <w:rPr>
                <w:b/>
                <w:color w:val="1F4E78"/>
                <w:sz w:val="17"/>
              </w:rPr>
              <w:t>SERWIS</w:t>
            </w:r>
          </w:p>
        </w:tc>
        <w:tc>
          <w:tcPr>
            <w:tcW w:type="dxa" w:w="1728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1F4E78"/>
                <w:sz w:val="22"/>
              </w:rPr>
              <w:t>5</w:t>
              <w:br/>
            </w:r>
            <w:r>
              <w:rPr>
                <w:b/>
                <w:color w:val="1F4E78"/>
                <w:sz w:val="17"/>
              </w:rPr>
              <w:t>WERYFIKACJA</w:t>
            </w:r>
          </w:p>
        </w:tc>
        <w:tc>
          <w:tcPr>
            <w:tcW w:type="dxa" w:w="1728"/>
            <w:shd w:fill="E2F0D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1F4E78"/>
                <w:sz w:val="22"/>
              </w:rPr>
              <w:t>6</w:t>
              <w:br/>
            </w:r>
            <w:r>
              <w:rPr>
                <w:b/>
                <w:color w:val="274E13"/>
                <w:sz w:val="17"/>
              </w:rPr>
              <w:t>ZAMKNIĘCIE</w:t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1F4E78"/>
          <w:sz w:val="30"/>
        </w:rPr>
        <w:t>4. Priorytety zgłoszeń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4E78"/>
          </w:tcPr>
          <w:p>
            <w:r>
              <w:rPr>
                <w:b/>
                <w:color w:val="FFFFFF"/>
              </w:rPr>
              <w:t>Priorytet</w:t>
            </w:r>
          </w:p>
        </w:tc>
        <w:tc>
          <w:tcPr>
            <w:tcW w:type="dxa" w:w="259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4E78"/>
          </w:tcPr>
          <w:p>
            <w:r>
              <w:rPr>
                <w:b/>
                <w:color w:val="FFFFFF"/>
              </w:rPr>
              <w:t>Przykład</w:t>
            </w:r>
          </w:p>
        </w:tc>
        <w:tc>
          <w:tcPr>
            <w:tcW w:type="dxa" w:w="259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4E78"/>
          </w:tcPr>
          <w:p>
            <w:r>
              <w:rPr>
                <w:b/>
                <w:color w:val="FFFFFF"/>
              </w:rPr>
              <w:t>Dalsza jazda</w:t>
            </w:r>
          </w:p>
        </w:tc>
        <w:tc>
          <w:tcPr>
            <w:tcW w:type="dxa" w:w="259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4E78"/>
          </w:tcPr>
          <w:p>
            <w:r>
              <w:rPr>
                <w:b/>
                <w:color w:val="FFFFFF"/>
              </w:rPr>
              <w:t>Reakcja</w:t>
            </w:r>
          </w:p>
        </w:tc>
      </w:tr>
      <w:tr>
        <w:tc>
          <w:tcPr>
            <w:tcW w:type="dxa" w:w="2592"/>
            <w:shd w:fill="F4CCC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P1 – krytyczny</w:t>
            </w:r>
          </w:p>
        </w:tc>
        <w:tc>
          <w:tcPr>
            <w:tcW w:type="dxa" w:w="2592"/>
            <w:shd w:fill="F4CCC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hamulce, układ kierowniczy, czerwone kontrolki, wyciek paliwa</w:t>
            </w:r>
          </w:p>
        </w:tc>
        <w:tc>
          <w:tcPr>
            <w:tcW w:type="dxa" w:w="2592"/>
            <w:shd w:fill="F4CCC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NIE</w:t>
            </w:r>
          </w:p>
        </w:tc>
        <w:tc>
          <w:tcPr>
            <w:tcW w:type="dxa" w:w="2592"/>
            <w:shd w:fill="F4CCC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natychmiast; zabezpieczyć pojazd</w:t>
            </w:r>
          </w:p>
        </w:tc>
      </w:tr>
      <w:tr>
        <w:tc>
          <w:tcPr>
            <w:tcW w:type="dxa" w:w="2592"/>
            <w:shd w:fill="FFF2C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P2 – pilny</w:t>
            </w:r>
          </w:p>
        </w:tc>
        <w:tc>
          <w:tcPr>
            <w:tcW w:type="dxa" w:w="2592"/>
            <w:shd w:fill="FFF2C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usterka ogranicza użytkowanie, ale nie stwarza bezpośredniego zagrożenia</w:t>
            </w:r>
          </w:p>
        </w:tc>
        <w:tc>
          <w:tcPr>
            <w:tcW w:type="dxa" w:w="2592"/>
            <w:shd w:fill="FFF2C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po decyzji koordynatora</w:t>
            </w:r>
          </w:p>
        </w:tc>
        <w:tc>
          <w:tcPr>
            <w:tcW w:type="dxa" w:w="2592"/>
            <w:shd w:fill="FFF2C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tego samego dnia</w:t>
            </w:r>
          </w:p>
        </w:tc>
      </w:tr>
      <w:tr>
        <w:tc>
          <w:tcPr>
            <w:tcW w:type="dxa" w:w="259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P3 – planowy</w:t>
            </w:r>
          </w:p>
        </w:tc>
        <w:tc>
          <w:tcPr>
            <w:tcW w:type="dxa" w:w="259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drobne usterki wyposażenia lub komfortu</w:t>
            </w:r>
          </w:p>
        </w:tc>
        <w:tc>
          <w:tcPr>
            <w:tcW w:type="dxa" w:w="259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TAK</w:t>
            </w:r>
          </w:p>
        </w:tc>
        <w:tc>
          <w:tcPr>
            <w:tcW w:type="dxa" w:w="259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zaplanować w najbliższym terminie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ptos Display" w:hAnsi="Aptos Display"/>
          <w:b/>
          <w:color w:val="1F4E78"/>
          <w:sz w:val="50"/>
        </w:rPr>
        <w:t>5. Instrukcja krok po kroku</w:t>
      </w:r>
    </w:p>
    <w:p>
      <w:pPr>
        <w:spacing w:after="200"/>
      </w:pPr>
      <w:r>
        <w:rPr>
          <w:rFonts w:ascii="Aptos" w:hAnsi="Aptos"/>
          <w:color w:val="5B6573"/>
          <w:sz w:val="21"/>
        </w:rPr>
        <w:t>Przykład szczegółowego opisu operacyjnego do wykorzystania przez pracownika.</w:t>
      </w:r>
    </w:p>
    <w:p>
      <w:pPr>
        <w:spacing w:before="100" w:after="80"/>
      </w:pPr>
      <w:r>
        <w:rPr>
          <w:rFonts w:ascii="Aptos Display" w:hAnsi="Aptos Display"/>
          <w:b/>
          <w:color w:val="1F4E78"/>
          <w:sz w:val="24"/>
        </w:rPr>
        <w:t>Krok 1. Przyjęcie zgłoszenia</w:t>
      </w:r>
    </w:p>
    <w:p>
      <w:pPr>
        <w:pStyle w:val="ListBullet"/>
        <w:spacing w:after="40"/>
      </w:pPr>
      <w:r>
        <w:rPr>
          <w:sz w:val="19"/>
        </w:rPr>
        <w:t>Zapisz numer rejestracyjny lub indeks pojazdu.</w:t>
      </w:r>
    </w:p>
    <w:p>
      <w:pPr>
        <w:pStyle w:val="ListBullet"/>
        <w:spacing w:after="40"/>
      </w:pPr>
      <w:r>
        <w:rPr>
          <w:sz w:val="19"/>
        </w:rPr>
        <w:t>Zapisz imię i nazwisko zgłaszającego oraz aktualną lokalizację pojazdu.</w:t>
      </w:r>
    </w:p>
    <w:p>
      <w:pPr>
        <w:pStyle w:val="ListBullet"/>
        <w:spacing w:after="40"/>
      </w:pPr>
      <w:r>
        <w:rPr>
          <w:sz w:val="19"/>
        </w:rPr>
        <w:t>Poproś o krótki opis objawów: co się stało, kiedy i czy pojawiły się kontrolki / komunikaty.</w:t>
      </w:r>
    </w:p>
    <w:p>
      <w:pPr>
        <w:pStyle w:val="ListBullet"/>
        <w:spacing w:after="40"/>
      </w:pPr>
      <w:r>
        <w:rPr>
          <w:sz w:val="19"/>
        </w:rPr>
        <w:t>Jeżeli to możliwe, poproś o zdjęcie komunikatu, kontrolki lub uszkodzenia.</w:t>
      </w:r>
    </w:p>
    <w:p>
      <w:pPr>
        <w:spacing w:before="100" w:after="80"/>
      </w:pPr>
      <w:r>
        <w:rPr>
          <w:rFonts w:ascii="Aptos Display" w:hAnsi="Aptos Display"/>
          <w:b/>
          <w:color w:val="1F4E78"/>
          <w:sz w:val="24"/>
        </w:rPr>
        <w:t>Krok 2. Ocena bezpieczeństwa</w:t>
      </w:r>
    </w:p>
    <w:p>
      <w:pPr>
        <w:pStyle w:val="ListBullet"/>
        <w:spacing w:after="40"/>
      </w:pPr>
      <w:r>
        <w:rPr>
          <w:sz w:val="19"/>
        </w:rPr>
        <w:t>Jeżeli zgłoszenie dotyczy hamulców, układu kierowniczego, wycieku paliwa, dymu, przegrzania lub czerwonej kontrolki – zakwalifikuj je jako P1.</w:t>
      </w:r>
    </w:p>
    <w:p>
      <w:pPr>
        <w:pStyle w:val="ListBullet"/>
        <w:spacing w:after="40"/>
      </w:pPr>
      <w:r>
        <w:rPr>
          <w:sz w:val="19"/>
        </w:rPr>
        <w:t>Przy P1 kierowca nie kontynuuje jazdy do czasu decyzji osoby odpowiedzialnej za flotę lub serwisu.</w:t>
      </w:r>
    </w:p>
    <w:p>
      <w:pPr>
        <w:pStyle w:val="ListBullet"/>
        <w:spacing w:after="40"/>
      </w:pPr>
      <w:r>
        <w:rPr>
          <w:sz w:val="19"/>
        </w:rPr>
        <w:t>W pozostałych przypadkach określ P2 lub P3 zgodnie z tabelą priorytetów.</w:t>
      </w:r>
    </w:p>
    <w:p>
      <w:pPr>
        <w:spacing w:before="100" w:after="80"/>
      </w:pPr>
      <w:r>
        <w:rPr>
          <w:rFonts w:ascii="Aptos Display" w:hAnsi="Aptos Display"/>
          <w:b/>
          <w:color w:val="1F4E78"/>
          <w:sz w:val="24"/>
        </w:rPr>
        <w:t>Krok 3. Rejestracja zgłoszenia</w:t>
      </w:r>
    </w:p>
    <w:p>
      <w:pPr>
        <w:pStyle w:val="ListBullet"/>
        <w:spacing w:after="40"/>
      </w:pPr>
      <w:r>
        <w:rPr>
          <w:sz w:val="19"/>
        </w:rPr>
        <w:t>Dodaj wpis do rejestru serwisowego / pliku kontrolnego.</w:t>
      </w:r>
    </w:p>
    <w:p>
      <w:pPr>
        <w:pStyle w:val="ListBullet"/>
        <w:spacing w:after="40"/>
      </w:pPr>
      <w:r>
        <w:rPr>
          <w:sz w:val="19"/>
        </w:rPr>
        <w:t>Minimalny zakres danych: data, pojazd, zgłaszający, opis, priorytet, status, osoba odpowiedzialna i planowany termin.</w:t>
      </w:r>
    </w:p>
    <w:p>
      <w:pPr>
        <w:pStyle w:val="ListBullet"/>
        <w:spacing w:after="40"/>
      </w:pPr>
      <w:r>
        <w:rPr>
          <w:sz w:val="19"/>
        </w:rPr>
        <w:t>Ustaw status „Nowe” lub „W trakcie” – zależnie od przyjętego systemu.</w:t>
      </w:r>
    </w:p>
    <w:p>
      <w:pPr>
        <w:spacing w:before="100" w:after="80"/>
      </w:pPr>
      <w:r>
        <w:rPr>
          <w:rFonts w:ascii="Aptos Display" w:hAnsi="Aptos Display"/>
          <w:b/>
          <w:color w:val="1F4E78"/>
          <w:sz w:val="24"/>
        </w:rPr>
        <w:t>Krok 4. Organizacja serwisu</w:t>
      </w:r>
    </w:p>
    <w:p>
      <w:pPr>
        <w:pStyle w:val="ListBullet"/>
        <w:spacing w:after="40"/>
      </w:pPr>
      <w:r>
        <w:rPr>
          <w:sz w:val="19"/>
        </w:rPr>
        <w:t>Skontaktuj się z właściwym serwisem i przekaż opis usterki.</w:t>
      </w:r>
    </w:p>
    <w:p>
      <w:pPr>
        <w:pStyle w:val="ListBullet"/>
        <w:spacing w:after="40"/>
      </w:pPr>
      <w:r>
        <w:rPr>
          <w:sz w:val="19"/>
        </w:rPr>
        <w:t>Ustal termin przyjęcia pojazdu oraz – przy P1/P2 – informację, czy konieczna jest laweta lub pojazd zastępczy.</w:t>
      </w:r>
    </w:p>
    <w:p>
      <w:pPr>
        <w:pStyle w:val="ListBullet"/>
        <w:spacing w:after="40"/>
      </w:pPr>
      <w:r>
        <w:rPr>
          <w:sz w:val="19"/>
        </w:rPr>
        <w:t>W rejestrze wpisz termin i nazwę serwisu.</w:t>
      </w:r>
    </w:p>
    <w:p>
      <w:pPr>
        <w:spacing w:before="100" w:after="80"/>
      </w:pPr>
      <w:r>
        <w:rPr>
          <w:rFonts w:ascii="Aptos Display" w:hAnsi="Aptos Display"/>
          <w:b/>
          <w:color w:val="1F4E78"/>
          <w:sz w:val="24"/>
        </w:rPr>
        <w:t>Krok 5. Informacja dla użytkownika</w:t>
      </w:r>
    </w:p>
    <w:p>
      <w:pPr>
        <w:pStyle w:val="ListBullet"/>
        <w:spacing w:after="40"/>
      </w:pPr>
      <w:r>
        <w:rPr>
          <w:sz w:val="19"/>
        </w:rPr>
        <w:t>Potwierdź kierowcy / opiekunowi przyjęcie zgłoszenia.</w:t>
      </w:r>
    </w:p>
    <w:p>
      <w:pPr>
        <w:pStyle w:val="ListBullet"/>
        <w:spacing w:after="40"/>
      </w:pPr>
      <w:r>
        <w:rPr>
          <w:sz w:val="19"/>
        </w:rPr>
        <w:t>Przekaż ustalony termin, miejsce serwisu i zasady dalszego użytkowania pojazdu.</w:t>
      </w:r>
    </w:p>
    <w:p>
      <w:pPr>
        <w:pStyle w:val="ListBullet"/>
        <w:spacing w:after="40"/>
      </w:pPr>
      <w:r>
        <w:rPr>
          <w:sz w:val="19"/>
        </w:rPr>
        <w:t>Jeśli termin ulegnie zmianie, aktualizuj rejestr oraz poinformuj użytkownika.</w:t>
      </w:r>
    </w:p>
    <w:p>
      <w:pPr>
        <w:spacing w:before="100" w:after="80"/>
      </w:pPr>
      <w:r>
        <w:rPr>
          <w:rFonts w:ascii="Aptos Display" w:hAnsi="Aptos Display"/>
          <w:b/>
          <w:color w:val="1F4E78"/>
          <w:sz w:val="24"/>
        </w:rPr>
        <w:t>Krok 6. Weryfikacja naprawy</w:t>
      </w:r>
    </w:p>
    <w:p>
      <w:pPr>
        <w:pStyle w:val="ListBullet"/>
        <w:spacing w:after="40"/>
      </w:pPr>
      <w:r>
        <w:rPr>
          <w:sz w:val="19"/>
        </w:rPr>
        <w:t>Po informacji z serwisu sprawdź zakres wykonanych prac i ewentualne zalecenia dodatkowe.</w:t>
      </w:r>
    </w:p>
    <w:p>
      <w:pPr>
        <w:pStyle w:val="ListBullet"/>
        <w:spacing w:after="40"/>
      </w:pPr>
      <w:r>
        <w:rPr>
          <w:sz w:val="19"/>
        </w:rPr>
        <w:t>Jeżeli wymagane są dalsze prace, utwórz kolejne zadanie lub pozostaw zgłoszenie otwarte.</w:t>
      </w:r>
    </w:p>
    <w:p>
      <w:pPr>
        <w:pStyle w:val="ListBullet"/>
        <w:spacing w:after="40"/>
      </w:pPr>
      <w:r>
        <w:rPr>
          <w:sz w:val="19"/>
        </w:rPr>
        <w:t>Jeżeli naprawa jest zakończona, zmień status na „Do weryfikacji”.</w:t>
      </w:r>
    </w:p>
    <w:p>
      <w:pPr>
        <w:spacing w:before="100" w:after="80"/>
      </w:pPr>
      <w:r>
        <w:rPr>
          <w:rFonts w:ascii="Aptos Display" w:hAnsi="Aptos Display"/>
          <w:b/>
          <w:color w:val="1F4E78"/>
          <w:sz w:val="24"/>
        </w:rPr>
        <w:t>Krok 7. Zamknięcie zgłoszenia</w:t>
      </w:r>
    </w:p>
    <w:p>
      <w:pPr>
        <w:pStyle w:val="ListBullet"/>
        <w:spacing w:after="40"/>
      </w:pPr>
      <w:r>
        <w:rPr>
          <w:sz w:val="19"/>
        </w:rPr>
        <w:t>Potwierdź z użytkownikiem, że pojazd wrócił do eksploatacji i usterka nie występuje.</w:t>
      </w:r>
    </w:p>
    <w:p>
      <w:pPr>
        <w:pStyle w:val="ListBullet"/>
        <w:spacing w:after="40"/>
      </w:pPr>
      <w:r>
        <w:rPr>
          <w:sz w:val="19"/>
        </w:rPr>
        <w:t>Uzupełnij datę zakończenia, koszt (jeśli jest wymagany) oraz krótką informację o wykonanej naprawie.</w:t>
      </w:r>
    </w:p>
    <w:p>
      <w:pPr>
        <w:pStyle w:val="ListBullet"/>
        <w:spacing w:after="40"/>
      </w:pPr>
      <w:r>
        <w:rPr>
          <w:sz w:val="19"/>
        </w:rPr>
        <w:t>Zmień status na „Zamknięte”.</w:t>
      </w:r>
    </w:p>
    <w:p>
      <w:r>
        <w:br w:type="page"/>
      </w:r>
    </w:p>
    <w:p>
      <w:pPr>
        <w:spacing w:after="40"/>
      </w:pPr>
      <w:r>
        <w:rPr>
          <w:rFonts w:ascii="Aptos Display" w:hAnsi="Aptos Display"/>
          <w:b/>
          <w:color w:val="1F4E78"/>
          <w:sz w:val="50"/>
        </w:rPr>
        <w:t>6. Kontrola i zamknięcie</w:t>
      </w:r>
    </w:p>
    <w:p>
      <w:pPr>
        <w:spacing w:after="200"/>
      </w:pPr>
      <w:r>
        <w:rPr>
          <w:rFonts w:ascii="Aptos" w:hAnsi="Aptos"/>
          <w:color w:val="5B6573"/>
          <w:sz w:val="21"/>
        </w:rPr>
        <w:t>Checklisty ograniczają ryzyko pozostawienia niekompletnego zgłoszenia.</w:t>
      </w:r>
    </w:p>
    <w:p>
      <w:pPr>
        <w:spacing w:before="160" w:after="80"/>
      </w:pPr>
      <w:r>
        <w:rPr>
          <w:rFonts w:ascii="Aptos Display" w:hAnsi="Aptos Display"/>
          <w:b/>
          <w:color w:val="1F4E78"/>
          <w:sz w:val="30"/>
        </w:rPr>
        <w:t>Checklista przed zamknięciem zgłoszenia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4E78"/>
          </w:tcPr>
          <w:p>
            <w:r>
              <w:rPr>
                <w:b/>
                <w:color w:val="FFFFFF"/>
              </w:rPr>
              <w:t>✓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4E78"/>
          </w:tcPr>
          <w:p>
            <w:r>
              <w:rPr>
                <w:b/>
                <w:color w:val="FFFFFF"/>
              </w:rPr>
              <w:t>Warunek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Pojazd został odebrany z serwisu lub przekazany użytkownikowi.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AFC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AFC"/>
          </w:tcPr>
          <w:p>
            <w:r>
              <w:t>Zakres naprawy jest wpisany w rejestrze.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Wpisano datę zakończenia i aktualny status.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AFC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AFC"/>
          </w:tcPr>
          <w:p>
            <w:r>
              <w:t>Zarchiwizowano dokument serwisowy / fakturę, jeżeli proces tego wymaga.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Zalecenia dotyczące kolejnego serwisu są odnotowane.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AFC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AFC"/>
          </w:tcPr>
          <w:p>
            <w:r>
              <w:t>Kierowca / opiekun otrzymał informację o zakończeniu sprawy.</w:t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1F4E78"/>
          <w:sz w:val="30"/>
        </w:rPr>
        <w:t>Przykładowe wskaźniki do dashboardu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4E78"/>
          </w:tcPr>
          <w:p>
            <w:r>
              <w:rPr>
                <w:b/>
                <w:color w:val="FFFFFF"/>
              </w:rPr>
              <w:t>Wskaźnik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4E78"/>
          </w:tcPr>
          <w:p>
            <w:r>
              <w:rPr>
                <w:b/>
                <w:color w:val="FFFFFF"/>
              </w:rPr>
              <w:t>Po co mierzyć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4E78"/>
          </w:tcPr>
          <w:p>
            <w:r>
              <w:rPr>
                <w:b/>
                <w:color w:val="FFFFFF"/>
              </w:rPr>
              <w:t>Przykład celu</w:t>
            </w:r>
          </w:p>
        </w:tc>
      </w:tr>
      <w:tr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Otwarte zgłoszenia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Widoczność zaległych spraw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&lt; 10</w:t>
            </w:r>
          </w:p>
        </w:tc>
      </w:tr>
      <w:tr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AFC"/>
          </w:tcPr>
          <w:p>
            <w:r>
              <w:t>Średni czas zamknięcia P2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AFC"/>
          </w:tcPr>
          <w:p>
            <w:r>
              <w:t>Kontrola sprawności obsługi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AFC"/>
          </w:tcPr>
          <w:p>
            <w:r>
              <w:t>&lt; 2 dni</w:t>
            </w:r>
          </w:p>
        </w:tc>
      </w:tr>
      <w:tr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Zgłoszenia po terminie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Szybka eskalacja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0</w:t>
            </w:r>
          </w:p>
        </w:tc>
      </w:tr>
      <w:tr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AFC"/>
          </w:tcPr>
          <w:p>
            <w:r>
              <w:t>Powtarzające się usterki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AFC"/>
          </w:tcPr>
          <w:p>
            <w:r>
              <w:t>Identyfikacja problematycznych pojazdów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AFC"/>
          </w:tcPr>
          <w:p>
            <w:r>
              <w:t>analiza miesięczna</w:t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1F4E78"/>
          <w:sz w:val="30"/>
        </w:rPr>
        <w:t>7. Uwagi wdrożeniowe</w:t>
      </w:r>
    </w:p>
    <w:p>
      <w:pPr>
        <w:pStyle w:val="ListBullet"/>
        <w:spacing w:after="40"/>
      </w:pPr>
      <w:r>
        <w:rPr>
          <w:sz w:val="20"/>
        </w:rPr>
        <w:t>Nazwy statusów, systemów i pól należy dopasować do rzeczywistych narzędzi klienta.</w:t>
      </w:r>
    </w:p>
    <w:p>
      <w:pPr>
        <w:pStyle w:val="ListBullet"/>
        <w:spacing w:after="40"/>
      </w:pPr>
      <w:r>
        <w:rPr>
          <w:sz w:val="20"/>
        </w:rPr>
        <w:t>W finalnej wersji procedury można dodać zrzuty ekranów z numeracją kroków i strzałkami.</w:t>
      </w:r>
    </w:p>
    <w:p>
      <w:pPr>
        <w:pStyle w:val="ListBullet"/>
        <w:spacing w:after="40"/>
      </w:pPr>
      <w:r>
        <w:rPr>
          <w:sz w:val="20"/>
        </w:rPr>
        <w:t>Procedura może zostać połączona z automatycznym arkuszem Excel, formularzem zgłoszeniowym lub powiadomieniami e-mail.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2F0D9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pPr>
              <w:jc w:val="center"/>
            </w:pPr>
            <w:r>
              <w:rPr>
                <w:b/>
                <w:color w:val="274E13"/>
                <w:sz w:val="20"/>
              </w:rPr>
              <w:t>Wartość dla klienta: jeden standard obsługi, mniej zagubionych zgłoszeń, czytelny status i łatwiejsze raportowanie.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7878"/>
        <w:sz w:val="15"/>
      </w:rPr>
      <w:t>Dane i nazwy w dokumencie są fikcyjne • materiał demonstracyjny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1F4E78"/>
        <w:sz w:val="16"/>
      </w:rPr>
      <w:t>PORTFOLIO DEMO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 Display" w:hAnsi="Aptos Display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